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From Messy Data to Meaningful Insight</w:t>
      </w:r>
    </w:p>
    <w:p>
      <w:pPr>
        <w:pStyle w:val="Subtitle"/>
      </w:pPr>
      <w:r>
        <w:t>Psoriasis &amp; Wellbeing Study</w:t>
      </w:r>
    </w:p>
    <w:p>
      <w:r>
        <w:t>Research audit | 13 October 2026 | Exploratory — not a confirmatory publication</w:t>
      </w:r>
    </w:p>
    <w:p>
      <w:pPr>
        <w:pStyle w:val="Heading1"/>
      </w:pPr>
      <w:r>
        <w:t>Executive overview</w:t>
      </w:r>
    </w:p>
    <w:p>
      <w:r>
        <w:t>A real, openly deposited 722-row psoriasis dataset looks complete until coded nonresponse is examined. Analysis needs its survey codebook, not just the CSV.</w:t>
      </w:r>
    </w:p>
    <w:p>
      <w:r>
        <w:t>The 36-field file is semicolon-delimited with comma decimals. Without parsing it correctly and inspecting -9 response codes, a simple spreadsheet analysis could misrepresent missingness.</w:t>
      </w:r>
    </w:p>
    <w:p>
      <w:pPr>
        <w:pStyle w:val="Heading1"/>
      </w:pPr>
      <w:r>
        <w:t>Dataset provenance and privacy</w:t>
      </w:r>
    </w:p>
    <w:p>
      <w:r>
        <w:t>Uploaded file: Schuster et al_data(4).csv | Rows: 722 | Columns: 36 | Source: https://doi.org/10.23668/psycharchives.4451</w:t>
      </w:r>
    </w:p>
    <w:p>
      <w:r>
        <w:t>The uploaded participant-level CSV is deliberately withheld from all public artifacts. This report contains only aggregate, non-row-level results. Source dataset license and original codebook status must be rechecked before public publication.</w:t>
      </w:r>
    </w:p>
    <w:p>
      <w:pPr>
        <w:pStyle w:val="Heading1"/>
      </w:pPr>
      <w:r>
        <w:t>Phase 1 — Audit</w:t>
      </w:r>
    </w:p>
    <w:p>
      <w:pPr>
        <w:pStyle w:val="ListBullet"/>
      </w:pPr>
      <w:r>
        <w:t>722 recorded rows, 36 fields; 0.00% literal missing cells.</w:t>
      </w:r>
    </w:p>
    <w:p>
      <w:pPr>
        <w:pStyle w:val="ListBullet"/>
      </w:pPr>
      <w:r>
        <w:t>0 whole-row duplicates; structure: One row per survey record; no independently verified participant identifier or repeat index.</w:t>
      </w:r>
    </w:p>
    <w:p>
      <w:r>
        <w:t>Null cells: 0 (0.000% of all cells); blank-string cells: 0. Whole-row duplicate count: 0. Numeric columns: 36; other: 0.</w:t>
      </w:r>
    </w:p>
    <w:p>
      <w:pPr>
        <w:pStyle w:val="Heading2"/>
      </w:pPr>
      <w:r>
        <w:t>Missingness and coding patterns</w:t>
      </w:r>
    </w:p>
    <w:p>
      <w:pPr>
        <w:pStyle w:val="ListBullet"/>
      </w:pPr>
      <w:r>
        <w:t>AL01: 0.00% literal nulls</w:t>
      </w:r>
    </w:p>
    <w:p>
      <w:pPr>
        <w:pStyle w:val="ListBullet"/>
      </w:pPr>
      <w:r>
        <w:t>AL02: 0.00% literal nulls</w:t>
      </w:r>
    </w:p>
    <w:p>
      <w:pPr>
        <w:pStyle w:val="ListBullet"/>
      </w:pPr>
      <w:r>
        <w:t>AL02_01: 0.00% literal nulls</w:t>
      </w:r>
    </w:p>
    <w:p>
      <w:pPr>
        <w:pStyle w:val="ListBullet"/>
      </w:pPr>
      <w:r>
        <w:t>AL02_02: 0.00% literal nulls</w:t>
      </w:r>
    </w:p>
    <w:p>
      <w:pPr>
        <w:pStyle w:val="ListBullet"/>
      </w:pPr>
      <w:r>
        <w:t>AL02_03: 0.00% literal nulls</w:t>
      </w:r>
    </w:p>
    <w:p>
      <w:pPr>
        <w:pStyle w:val="ListBullet"/>
      </w:pPr>
      <w:r>
        <w:t>AL02_04: 0.00% literal nulls</w:t>
      </w:r>
    </w:p>
    <w:p>
      <w:r>
        <w:t>Observed negative codes: -9→50. These are NOT automatically classified as missing. Consult source coding manual.</w:t>
      </w:r>
    </w:p>
    <w:p>
      <w:pPr>
        <w:pStyle w:val="Heading2"/>
      </w:pPr>
      <w:r>
        <w:t>Observed integrity flags</w:t>
      </w:r>
    </w:p>
    <w:p>
      <w:pPr>
        <w:pStyle w:val="ListBullet"/>
      </w:pPr>
      <w:r>
        <w:t>minus9_cells: 50</w:t>
      </w:r>
    </w:p>
    <w:p>
      <w:pPr>
        <w:pStyle w:val="ListBullet"/>
      </w:pPr>
      <w:r>
        <w:t>minus9_rows: 20</w:t>
      </w:r>
    </w:p>
    <w:p>
      <w:pPr>
        <w:pStyle w:val="ListBullet"/>
      </w:pPr>
      <w:r>
        <w:t>ha03_minus9_cells: 37</w:t>
      </w:r>
    </w:p>
    <w:p>
      <w:pPr>
        <w:pStyle w:val="ListBullet"/>
      </w:pPr>
      <w:r>
        <w:t>ha03_minus9_rows: 11</w:t>
      </w:r>
    </w:p>
    <w:p>
      <w:pPr>
        <w:pStyle w:val="ListBullet"/>
      </w:pPr>
      <w:r>
        <w:t>age_min: 12</w:t>
      </w:r>
    </w:p>
    <w:p>
      <w:pPr>
        <w:pStyle w:val="ListBullet"/>
      </w:pPr>
      <w:r>
        <w:t>age_max: 85</w:t>
      </w:r>
    </w:p>
    <w:p>
      <w:pPr>
        <w:pStyle w:val="Heading1"/>
      </w:pPr>
      <w:r>
        <w:t>Phase 2 — Analyses and reproducibility</w:t>
      </w:r>
    </w:p>
    <w:p>
      <w:r>
        <w:t>Exploratory associations use Spearman rank correlation with pairwise available cases. Group comparisons use Welch t-tests and pooled-SD Cohen d, but group meanings must be verified. Reliability uses complete cases only and is diagnostic in the absence of confirmed scale keying.</w:t>
      </w:r>
    </w:p>
    <w:p>
      <w:pPr>
        <w:pStyle w:val="ListBullet"/>
      </w:pPr>
      <w:r>
        <w:t>ha03_raw_item_alpha_diagnostic: {"alpha": 0.2481, "n": 711, "items": 12}</w:t>
      </w:r>
    </w:p>
    <w:p>
      <w:pPr>
        <w:pStyle w:val="ListBullet"/>
      </w:pPr>
      <w:r>
        <w:t>ha03_raw_item_omega_diagnostic: {"omega_one_factor_approx": 0.1812, "n": 711, "note": "Approximate one-factor omega; factor dimensionality and reverse scoring not validated"}</w:t>
      </w:r>
    </w:p>
    <w:p>
      <w:pPr>
        <w:pStyle w:val="ListBullet"/>
      </w:pPr>
      <w:r>
        <w:t>age_group_raw_HA03: {"group1": "Age &lt;40", "group2": "Age &gt;=40", "n1": 268, "n2": 454, "mean1": 2.968, "mean2": 2.848, "cohen_d": 0.334, "p": 1.400592316880116e-05, "exploratory": true}</w:t>
      </w:r>
    </w:p>
    <w:p>
      <w:r>
        <w:t>Sensitivity assumption ONLY: -9 is unavailable, and HA03 item values 1–5 are included. The unkeyed mean and reliability are not valid clinical outcomes; source scoring has not been verified.</w:t>
      </w:r>
    </w:p>
    <w:p>
      <w:pPr>
        <w:pStyle w:val="Heading2"/>
      </w:pPr>
      <w:r>
        <w:t>Selected Spearman associations</w:t>
      </w:r>
    </w:p>
    <w:p>
      <w:pPr>
        <w:pStyle w:val="ListBullet"/>
      </w:pPr>
      <w:r>
        <w:t>Age (AL06_01) / HA03 unkeyed item mean: rho=-0.1554, n=722, p=2.74e-05 (exploratory)</w:t>
      </w:r>
    </w:p>
    <w:p>
      <w:pPr>
        <w:pStyle w:val="ListBullet"/>
      </w:pPr>
      <w:r>
        <w:t>Age (AL06_01) / HA04: rho=-0.0199, n=720, p=0.594 (exploratory)</w:t>
      </w:r>
    </w:p>
    <w:p>
      <w:pPr>
        <w:pStyle w:val="ListBullet"/>
      </w:pPr>
      <w:r>
        <w:t>AL09_01 / HA04: rho=+0.1502, n=720, p=5.21e-05 (exploratory)</w:t>
      </w:r>
    </w:p>
    <w:p>
      <w:pPr>
        <w:pStyle w:val="ListBullet"/>
      </w:pPr>
      <w:r>
        <w:t>HA02_01 / HA03 unkeyed item mean: rho=+0.0625, n=721, p=0.0933 (exploratory)</w:t>
      </w:r>
    </w:p>
    <w:p>
      <w:r>
        <w:drawing>
          <wp:inline xmlns:a="http://schemas.openxmlformats.org/drawingml/2006/main" xmlns:pic="http://schemas.openxmlformats.org/drawingml/2006/picture">
            <wp:extent cx="5623560" cy="287426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ntegrity-indicators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87426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drawing>
          <wp:inline xmlns:a="http://schemas.openxmlformats.org/drawingml/2006/main" xmlns:pic="http://schemas.openxmlformats.org/drawingml/2006/picture">
            <wp:extent cx="5623560" cy="2749296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xploratory-correlations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27492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From findings to action</w:t>
      </w:r>
    </w:p>
    <w:p>
      <w:pPr>
        <w:pStyle w:val="Heading2"/>
      </w:pPr>
      <w:r>
        <w:t>The file format matters</w:t>
      </w:r>
    </w:p>
    <w:p>
      <w:r>
        <w:t>What we found — 722 records and 36 variables parse correctly only with semicolon delimiters; comma decimals require a separate option.</w:t>
      </w:r>
    </w:p>
    <w:p>
      <w:r>
        <w:t>Why it matters / What to do — Import using the source-specific delimiter and decimal configuration.</w:t>
      </w:r>
    </w:p>
    <w:p>
      <w:pPr>
        <w:pStyle w:val="Heading2"/>
      </w:pPr>
      <w:r>
        <w:t>Encoded missingness changes the audit</w:t>
      </w:r>
    </w:p>
    <w:p>
      <w:r>
        <w:t>What we found — The file contains zero literal nulls but 50 -9 cells spread across 20 records.</w:t>
      </w:r>
    </w:p>
    <w:p>
      <w:r>
        <w:t>Why it matters / What to do — Preserve -9 and verify its meaning against the published codebook before recoding.</w:t>
      </w:r>
    </w:p>
    <w:p>
      <w:pPr>
        <w:pStyle w:val="Heading2"/>
      </w:pPr>
      <w:r>
        <w:t>Internal consistency is not validation</w:t>
      </w:r>
    </w:p>
    <w:p>
      <w:r>
        <w:t>What we found — The raw-direction 12-item HA03 coefficient alpha is 0.248 for 711 complete cases under a -9-unavailable sensitivity assumption.</w:t>
      </w:r>
    </w:p>
    <w:p>
      <w:r>
        <w:t>Why it matters / What to do — Obtain scale keys and investigate multidimensionality before reporting a wellbeing score.</w:t>
      </w:r>
    </w:p>
    <w:p>
      <w:pPr>
        <w:pStyle w:val="Heading2"/>
      </w:pPr>
      <w:r>
        <w:t>Age-related patterns are exploratory</w:t>
      </w:r>
    </w:p>
    <w:p>
      <w:r>
        <w:t>What we found — Age spans 12 to 85 and a raw HA03 item mean differs modestly across an explicitly chosen age-40 split.</w:t>
      </w:r>
    </w:p>
    <w:p>
      <w:r>
        <w:t>Why it matters / What to do — Avoid clinical or causal conclusions until variable definitions and scoring are verified.</w:t>
      </w:r>
    </w:p>
    <w:p>
      <w:pPr>
        <w:pStyle w:val="Heading1"/>
      </w:pPr>
      <w:r>
        <w:t>Data limitations — retained, not silently fixed</w:t>
      </w:r>
    </w:p>
    <w:p>
      <w:pPr>
        <w:pStyle w:val="ListBullet"/>
      </w:pPr>
      <w:r>
        <w:t>The study dataset is published with a separate codebook, but the codebook was not part of the uploaded files and the original variable labels are not embedded in CSV.</w:t>
      </w:r>
    </w:p>
    <w:p>
      <w:pPr>
        <w:pStyle w:val="ListBullet"/>
      </w:pPr>
      <w:r>
        <w:t>The -9 code appears in multiple questions; the sensitivity calculation assumes it denotes an unavailable response, but the original CSV remains unchanged.</w:t>
      </w:r>
    </w:p>
    <w:p>
      <w:pPr>
        <w:pStyle w:val="ListBullet"/>
      </w:pPr>
      <w:r>
        <w:t>HA03 reliability is computed on raw directions and complete cases; its score semantics and reverse coding are not established. No clinical diagnosis or outcome score is inferred.</w:t>
      </w:r>
    </w:p>
    <w:p>
      <w:pPr>
        <w:pStyle w:val="ListBullet"/>
      </w:pPr>
      <w:r>
        <w:t>The survey has no participant identifier or repeated-measures index; one row per respondent is assumed, not externally verified.</w:t>
      </w:r>
    </w:p>
    <w:p>
      <w:pPr>
        <w:pStyle w:val="ListBullet"/>
      </w:pPr>
      <w:r>
        <w:t>Observational cross-sectional results cannot support causal claims.</w:t>
      </w:r>
    </w:p>
    <w:p>
      <w:r>
        <w:t>Published as Schuster et al. (2021), PsychArchives CC BY 4.0, DOI 10.23668/psycharchives.4451. Only aggregate derivatives are included in this local review ZIP.</w:t>
      </w:r>
    </w:p>
    <w:p>
      <w:pPr>
        <w:pStyle w:val="Heading1"/>
      </w:pPr>
      <w:r>
        <w:t>Reproducibility and citations</w:t>
      </w:r>
    </w:p>
    <w:p>
      <w:r>
        <w:t>This bundle contains aggregate-results.csv, variable-dictionary.csv, two figures in PNG and SVG, a Python script, and references.bib. Original participant-level files are withheld. See REPRODUCIBILITY.md for exact command lines. This report is exploratory. Original source licenses are not established for the first two uploads.</w:t>
      </w:r>
    </w:p>
    <w:p>
      <w:r>
        <w:t>Core methods: Spearman (1904), Cronbach (1951), McDonald (1999), Welch (1947), Cohen (1988), statsmodels MixedLM, scikit-learn FactorAnalysis. DOI/URL in references.bib.</w:t>
      </w:r>
    </w:p>
    <w:sectPr w:rsidR="00FC693F" w:rsidRPr="0006063C" w:rsidSect="00034616">
      <w:pgSz w:w="12240" w:h="15840"/>
      <w:pgMar w:top="1080" w:right="1800" w:bottom="1152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232D3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